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bookmarkStart w:id="0" w:name="_GoBack"/>
      <w:bookmarkEnd w:id="0"/>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 xml:space="preserve">   </w:t>
      </w:r>
      <w:r>
        <w:rPr>
          <w:rStyle w:val="18"/>
          <w:rFonts w:ascii="楷体" w:hAnsi="楷体" w:eastAsia="楷体"/>
          <w:spacing w:val="-4"/>
          <w:sz w:val="32"/>
          <w:szCs w:val="32"/>
        </w:rPr>
        <w:t>2023</w:t>
      </w:r>
      <w:r>
        <w:rPr>
          <w:rFonts w:hAnsi="宋体" w:eastAsia="仿宋_GB2312" w:cs="宋体"/>
          <w:kern w:val="0"/>
          <w:sz w:val="36"/>
          <w:szCs w:val="36"/>
        </w:rPr>
        <w:t xml:space="preserve">  </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木垒县大南沟乌孜别克族乡人民政府坎儿井景区建设项目林草占用补偿项目</w:t>
      </w:r>
    </w:p>
    <w:p>
      <w:pPr>
        <w:spacing w:line="540" w:lineRule="exact"/>
        <w:ind w:firstLine="567"/>
        <w:rPr>
          <w:rFonts w:hint="eastAsia" w:ascii="楷体" w:hAnsi="楷体" w:eastAsia="楷体"/>
          <w:b/>
          <w:bCs/>
          <w:spacing w:val="-4"/>
          <w:sz w:val="32"/>
          <w:szCs w:val="32"/>
        </w:rPr>
      </w:pPr>
      <w:r>
        <w:rPr>
          <w:rFonts w:hAnsi="宋体" w:eastAsia="仿宋_GB2312" w:cs="宋体"/>
          <w:kern w:val="0"/>
          <w:sz w:val="36"/>
          <w:szCs w:val="36"/>
        </w:rPr>
        <w:t xml:space="preserve">  </w:t>
      </w:r>
      <w:r>
        <w:rPr>
          <w:rFonts w:hint="eastAsia" w:hAnsi="宋体" w:eastAsia="仿宋_GB2312" w:cs="宋体"/>
          <w:kern w:val="0"/>
          <w:sz w:val="36"/>
          <w:szCs w:val="36"/>
        </w:rPr>
        <w:t>实施单位（公章）：</w:t>
      </w:r>
      <w:r>
        <w:rPr>
          <w:rStyle w:val="18"/>
          <w:rFonts w:hint="eastAsia" w:ascii="楷体" w:hAnsi="楷体" w:eastAsia="楷体"/>
          <w:spacing w:val="-4"/>
          <w:sz w:val="28"/>
          <w:szCs w:val="28"/>
        </w:rPr>
        <w:t>木垒县乌孜别克乡政府本级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木垒县乌孜别克乡政府本级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赛买提</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ascii="楷体" w:hAnsi="楷体" w:eastAsia="楷体"/>
          <w:spacing w:val="-4"/>
          <w:sz w:val="32"/>
          <w:szCs w:val="32"/>
        </w:rPr>
        <w:t>2024</w:t>
      </w:r>
      <w:r>
        <w:rPr>
          <w:rStyle w:val="18"/>
          <w:rFonts w:hint="eastAsia" w:ascii="楷体" w:hAnsi="楷体" w:eastAsia="楷体"/>
          <w:spacing w:val="-4"/>
          <w:sz w:val="32"/>
          <w:szCs w:val="32"/>
        </w:rPr>
        <w:t>年</w:t>
      </w:r>
      <w:r>
        <w:rPr>
          <w:rStyle w:val="18"/>
          <w:rFonts w:ascii="楷体" w:hAnsi="楷体" w:eastAsia="楷体"/>
          <w:spacing w:val="-4"/>
          <w:sz w:val="32"/>
          <w:szCs w:val="32"/>
        </w:rPr>
        <w:t>04</w:t>
      </w:r>
      <w:r>
        <w:rPr>
          <w:rStyle w:val="18"/>
          <w:rFonts w:hint="eastAsia" w:ascii="楷体" w:hAnsi="楷体" w:eastAsia="楷体"/>
          <w:spacing w:val="-4"/>
          <w:sz w:val="32"/>
          <w:szCs w:val="32"/>
        </w:rPr>
        <w:t>月</w:t>
      </w:r>
      <w:r>
        <w:rPr>
          <w:rStyle w:val="18"/>
          <w:rFonts w:ascii="楷体" w:hAnsi="楷体" w:eastAsia="楷体"/>
          <w:spacing w:val="-4"/>
          <w:sz w:val="32"/>
          <w:szCs w:val="32"/>
        </w:rPr>
        <w:t>18</w:t>
      </w:r>
      <w:r>
        <w:rPr>
          <w:rStyle w:val="18"/>
          <w:rFonts w:hint="eastAsia" w:ascii="楷体" w:hAnsi="楷体" w:eastAsia="楷体"/>
          <w:spacing w:val="-4"/>
          <w:sz w:val="32"/>
          <w:szCs w:val="32"/>
        </w:rPr>
        <w:t>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项目背景</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为完成木垒县草原坎儿井建设项目木垒河旅游公司占用木垒县大南沟乌孜别克族乡</w:t>
      </w:r>
      <w:r>
        <w:rPr>
          <w:rStyle w:val="18"/>
          <w:rFonts w:ascii="楷体" w:hAnsi="楷体" w:eastAsia="楷体"/>
          <w:b w:val="0"/>
          <w:bCs w:val="0"/>
          <w:spacing w:val="-4"/>
          <w:sz w:val="32"/>
          <w:szCs w:val="32"/>
        </w:rPr>
        <w:t>14</w:t>
      </w:r>
      <w:r>
        <w:rPr>
          <w:rStyle w:val="18"/>
          <w:rFonts w:hint="eastAsia" w:ascii="楷体" w:hAnsi="楷体" w:eastAsia="楷体"/>
          <w:b w:val="0"/>
          <w:bCs w:val="0"/>
          <w:spacing w:val="-4"/>
          <w:sz w:val="32"/>
          <w:szCs w:val="32"/>
        </w:rPr>
        <w:t>户</w:t>
      </w:r>
      <w:r>
        <w:rPr>
          <w:rStyle w:val="18"/>
          <w:rFonts w:ascii="楷体" w:hAnsi="楷体" w:eastAsia="楷体"/>
          <w:b w:val="0"/>
          <w:bCs w:val="0"/>
          <w:spacing w:val="-4"/>
          <w:sz w:val="32"/>
          <w:szCs w:val="32"/>
        </w:rPr>
        <w:t>73</w:t>
      </w:r>
      <w:r>
        <w:rPr>
          <w:rStyle w:val="18"/>
          <w:rFonts w:hint="eastAsia" w:ascii="楷体" w:hAnsi="楷体" w:eastAsia="楷体"/>
          <w:b w:val="0"/>
          <w:bCs w:val="0"/>
          <w:spacing w:val="-4"/>
          <w:sz w:val="32"/>
          <w:szCs w:val="32"/>
        </w:rPr>
        <w:t>人牧民位于青疙瘩牧场</w:t>
      </w:r>
      <w:r>
        <w:rPr>
          <w:rStyle w:val="18"/>
          <w:rFonts w:ascii="楷体" w:hAnsi="楷体" w:eastAsia="楷体"/>
          <w:b w:val="0"/>
          <w:bCs w:val="0"/>
          <w:spacing w:val="-4"/>
          <w:sz w:val="32"/>
          <w:szCs w:val="32"/>
        </w:rPr>
        <w:t>2359.6</w:t>
      </w:r>
      <w:r>
        <w:rPr>
          <w:rStyle w:val="18"/>
          <w:rFonts w:hint="eastAsia" w:ascii="楷体" w:hAnsi="楷体" w:eastAsia="楷体"/>
          <w:b w:val="0"/>
          <w:bCs w:val="0"/>
          <w:spacing w:val="-4"/>
          <w:sz w:val="32"/>
          <w:szCs w:val="32"/>
        </w:rPr>
        <w:t>亩草场，依照木垒哈萨克自治县党委财经会会议纪要（木党财【</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号）文件立项，设立了第二批补偿费资金</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万元。通过此资金妥善解决被临时使用草场的村民的生产生活问题，维护村民根本利益，保障其生活水平不受影响。</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项目主要内容</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根据木财预字（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号文件精神，为完成木垒县草原坎儿井建设项目木垒河旅游公司占用木垒县大南沟乌孜别克族乡</w:t>
      </w:r>
      <w:r>
        <w:rPr>
          <w:rStyle w:val="18"/>
          <w:rFonts w:ascii="楷体" w:hAnsi="楷体" w:eastAsia="楷体"/>
          <w:b w:val="0"/>
          <w:bCs w:val="0"/>
          <w:spacing w:val="-4"/>
          <w:sz w:val="32"/>
          <w:szCs w:val="32"/>
        </w:rPr>
        <w:t>14</w:t>
      </w:r>
      <w:r>
        <w:rPr>
          <w:rStyle w:val="18"/>
          <w:rFonts w:hint="eastAsia" w:ascii="楷体" w:hAnsi="楷体" w:eastAsia="楷体"/>
          <w:b w:val="0"/>
          <w:bCs w:val="0"/>
          <w:spacing w:val="-4"/>
          <w:sz w:val="32"/>
          <w:szCs w:val="32"/>
        </w:rPr>
        <w:t>户</w:t>
      </w:r>
      <w:r>
        <w:rPr>
          <w:rStyle w:val="18"/>
          <w:rFonts w:ascii="楷体" w:hAnsi="楷体" w:eastAsia="楷体"/>
          <w:b w:val="0"/>
          <w:bCs w:val="0"/>
          <w:spacing w:val="-4"/>
          <w:sz w:val="32"/>
          <w:szCs w:val="32"/>
        </w:rPr>
        <w:t>73</w:t>
      </w:r>
      <w:r>
        <w:rPr>
          <w:rStyle w:val="18"/>
          <w:rFonts w:hint="eastAsia" w:ascii="楷体" w:hAnsi="楷体" w:eastAsia="楷体"/>
          <w:b w:val="0"/>
          <w:bCs w:val="0"/>
          <w:spacing w:val="-4"/>
          <w:sz w:val="32"/>
          <w:szCs w:val="32"/>
        </w:rPr>
        <w:t>人牧民位于青疙瘩牧场</w:t>
      </w:r>
      <w:r>
        <w:rPr>
          <w:rStyle w:val="18"/>
          <w:rFonts w:ascii="楷体" w:hAnsi="楷体" w:eastAsia="楷体"/>
          <w:b w:val="0"/>
          <w:bCs w:val="0"/>
          <w:spacing w:val="-4"/>
          <w:sz w:val="32"/>
          <w:szCs w:val="32"/>
        </w:rPr>
        <w:t>2359.6</w:t>
      </w:r>
      <w:r>
        <w:rPr>
          <w:rStyle w:val="18"/>
          <w:rFonts w:hint="eastAsia" w:ascii="楷体" w:hAnsi="楷体" w:eastAsia="楷体"/>
          <w:b w:val="0"/>
          <w:bCs w:val="0"/>
          <w:spacing w:val="-4"/>
          <w:sz w:val="32"/>
          <w:szCs w:val="32"/>
        </w:rPr>
        <w:t>亩草场，依照木垒哈萨克自治县党委财经会会议纪要（木党财【</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号）文件，补偿费</w:t>
      </w:r>
      <w:r>
        <w:rPr>
          <w:rStyle w:val="18"/>
          <w:rFonts w:ascii="楷体" w:hAnsi="楷体" w:eastAsia="楷体"/>
          <w:b w:val="0"/>
          <w:bCs w:val="0"/>
          <w:spacing w:val="-4"/>
          <w:sz w:val="32"/>
          <w:szCs w:val="32"/>
        </w:rPr>
        <w:t>349.6</w:t>
      </w:r>
      <w:r>
        <w:rPr>
          <w:rStyle w:val="18"/>
          <w:rFonts w:hint="eastAsia" w:ascii="楷体" w:hAnsi="楷体" w:eastAsia="楷体"/>
          <w:b w:val="0"/>
          <w:bCs w:val="0"/>
          <w:spacing w:val="-4"/>
          <w:sz w:val="32"/>
          <w:szCs w:val="32"/>
        </w:rPr>
        <w:t>万元分两批兑付，其中</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8</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30</w:t>
      </w:r>
      <w:r>
        <w:rPr>
          <w:rStyle w:val="18"/>
          <w:rFonts w:hint="eastAsia" w:ascii="楷体" w:hAnsi="楷体" w:eastAsia="楷体"/>
          <w:b w:val="0"/>
          <w:bCs w:val="0"/>
          <w:spacing w:val="-4"/>
          <w:sz w:val="32"/>
          <w:szCs w:val="32"/>
        </w:rPr>
        <w:t>日前已支付第一批，先申请第二批资金</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万元。通过此资金妥善解决被临时使用草场的村民的生产生活问题，维护村民根本利益，保障其生活水平不受影响。</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项目实施情况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月，由木垒县大南沟乌孜别克族乡农业发展中心上报经核实后的补助人员花名册，由农业发展中心进行确认审核后上交党委会研究，由党委会审批后交财务室，由财务室人员复核后将补助资金发放至各补助人员银行卡内，项目于</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日已执行完毕。</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资金投入和使用情况</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木垒县乌孜别克族乡坎儿井景区建设项目林草占用补偿项目资金于</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21</w:t>
      </w:r>
      <w:r>
        <w:rPr>
          <w:rStyle w:val="18"/>
          <w:rFonts w:hint="eastAsia" w:ascii="楷体" w:hAnsi="楷体" w:eastAsia="楷体"/>
          <w:b w:val="0"/>
          <w:bCs w:val="0"/>
          <w:spacing w:val="-4"/>
          <w:sz w:val="32"/>
          <w:szCs w:val="32"/>
        </w:rPr>
        <w:t>日木垒县县财政局下发的木财预字（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号文件安排资金为</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万元，为本级财政资金，实际到位率</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万元，资金到位率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，实际执行</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万元，执行率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资金落实到位。为确保项目资金的安全有效使用、安全运行，提高资金的使用效率，我单位严格按照木垒县大南沟乌孜别克族乡人民政府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总体目标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根据木财预字（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号文件精神，为完成木垒县草原坎儿井建设项目木垒河旅游公司占用木垒县大南沟乌孜别克族乡</w:t>
      </w:r>
      <w:r>
        <w:rPr>
          <w:rStyle w:val="18"/>
          <w:rFonts w:ascii="楷体" w:hAnsi="楷体" w:eastAsia="楷体"/>
          <w:b w:val="0"/>
          <w:bCs w:val="0"/>
          <w:spacing w:val="-4"/>
          <w:sz w:val="32"/>
          <w:szCs w:val="32"/>
        </w:rPr>
        <w:t>14</w:t>
      </w:r>
      <w:r>
        <w:rPr>
          <w:rStyle w:val="18"/>
          <w:rFonts w:hint="eastAsia" w:ascii="楷体" w:hAnsi="楷体" w:eastAsia="楷体"/>
          <w:b w:val="0"/>
          <w:bCs w:val="0"/>
          <w:spacing w:val="-4"/>
          <w:sz w:val="32"/>
          <w:szCs w:val="32"/>
        </w:rPr>
        <w:t>户</w:t>
      </w:r>
      <w:r>
        <w:rPr>
          <w:rStyle w:val="18"/>
          <w:rFonts w:ascii="楷体" w:hAnsi="楷体" w:eastAsia="楷体"/>
          <w:b w:val="0"/>
          <w:bCs w:val="0"/>
          <w:spacing w:val="-4"/>
          <w:sz w:val="32"/>
          <w:szCs w:val="32"/>
        </w:rPr>
        <w:t>73</w:t>
      </w:r>
      <w:r>
        <w:rPr>
          <w:rStyle w:val="18"/>
          <w:rFonts w:hint="eastAsia" w:ascii="楷体" w:hAnsi="楷体" w:eastAsia="楷体"/>
          <w:b w:val="0"/>
          <w:bCs w:val="0"/>
          <w:spacing w:val="-4"/>
          <w:sz w:val="32"/>
          <w:szCs w:val="32"/>
        </w:rPr>
        <w:t>人牧民位于青疙瘩牧场</w:t>
      </w:r>
      <w:r>
        <w:rPr>
          <w:rStyle w:val="18"/>
          <w:rFonts w:ascii="楷体" w:hAnsi="楷体" w:eastAsia="楷体"/>
          <w:b w:val="0"/>
          <w:bCs w:val="0"/>
          <w:spacing w:val="-4"/>
          <w:sz w:val="32"/>
          <w:szCs w:val="32"/>
        </w:rPr>
        <w:t>2359.6</w:t>
      </w:r>
      <w:r>
        <w:rPr>
          <w:rStyle w:val="18"/>
          <w:rFonts w:hint="eastAsia" w:ascii="楷体" w:hAnsi="楷体" w:eastAsia="楷体"/>
          <w:b w:val="0"/>
          <w:bCs w:val="0"/>
          <w:spacing w:val="-4"/>
          <w:sz w:val="32"/>
          <w:szCs w:val="32"/>
        </w:rPr>
        <w:t>亩草场，依照木垒哈萨克自治县党委财经会会议纪要（木党财【</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号）文件，补偿费</w:t>
      </w:r>
      <w:r>
        <w:rPr>
          <w:rStyle w:val="18"/>
          <w:rFonts w:ascii="楷体" w:hAnsi="楷体" w:eastAsia="楷体"/>
          <w:b w:val="0"/>
          <w:bCs w:val="0"/>
          <w:spacing w:val="-4"/>
          <w:sz w:val="32"/>
          <w:szCs w:val="32"/>
        </w:rPr>
        <w:t>349.6</w:t>
      </w:r>
      <w:r>
        <w:rPr>
          <w:rStyle w:val="18"/>
          <w:rFonts w:hint="eastAsia" w:ascii="楷体" w:hAnsi="楷体" w:eastAsia="楷体"/>
          <w:b w:val="0"/>
          <w:bCs w:val="0"/>
          <w:spacing w:val="-4"/>
          <w:sz w:val="32"/>
          <w:szCs w:val="32"/>
        </w:rPr>
        <w:t>万元分两批兑付，其中</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8</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30</w:t>
      </w:r>
      <w:r>
        <w:rPr>
          <w:rStyle w:val="18"/>
          <w:rFonts w:hint="eastAsia" w:ascii="楷体" w:hAnsi="楷体" w:eastAsia="楷体"/>
          <w:b w:val="0"/>
          <w:bCs w:val="0"/>
          <w:spacing w:val="-4"/>
          <w:sz w:val="32"/>
          <w:szCs w:val="32"/>
        </w:rPr>
        <w:t>日前已支付第一批，先申请第二批资金</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万元。通过此资金妥善解决被临时使用草场的村民的生产生活问题，维护村民根本利益，保障其生活水平不受影响。</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阶段性目标</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2.1 2023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21</w:t>
      </w:r>
      <w:r>
        <w:rPr>
          <w:rStyle w:val="18"/>
          <w:rFonts w:hint="eastAsia" w:ascii="楷体" w:hAnsi="楷体" w:eastAsia="楷体"/>
          <w:b w:val="0"/>
          <w:bCs w:val="0"/>
          <w:spacing w:val="-4"/>
          <w:sz w:val="32"/>
          <w:szCs w:val="32"/>
        </w:rPr>
        <w:t>日前完成坎儿井景区建设项目林草占用补偿核对核实工作，南沟村村委会对本村坎儿井景区建设项目林草占用补偿进行公示</w:t>
      </w:r>
      <w:r>
        <w:rPr>
          <w:rStyle w:val="18"/>
          <w:rFonts w:ascii="楷体" w:hAnsi="楷体" w:eastAsia="楷体"/>
          <w:b w:val="0"/>
          <w:bCs w:val="0"/>
          <w:spacing w:val="-4"/>
          <w:sz w:val="32"/>
          <w:szCs w:val="32"/>
        </w:rPr>
        <w:t>7</w:t>
      </w:r>
      <w:r>
        <w:rPr>
          <w:rStyle w:val="18"/>
          <w:rFonts w:hint="eastAsia" w:ascii="楷体" w:hAnsi="楷体" w:eastAsia="楷体"/>
          <w:b w:val="0"/>
          <w:bCs w:val="0"/>
          <w:spacing w:val="-4"/>
          <w:sz w:val="32"/>
          <w:szCs w:val="32"/>
        </w:rPr>
        <w:t>天。</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2.2 2023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28</w:t>
      </w:r>
      <w:r>
        <w:rPr>
          <w:rStyle w:val="18"/>
          <w:rFonts w:hint="eastAsia" w:ascii="楷体" w:hAnsi="楷体" w:eastAsia="楷体"/>
          <w:b w:val="0"/>
          <w:bCs w:val="0"/>
          <w:spacing w:val="-4"/>
          <w:sz w:val="32"/>
          <w:szCs w:val="32"/>
        </w:rPr>
        <w:t>日前公示结束无异议后，由乡农业发展中心上报县农业农村局，由县农业农村局进行确认审核后，乡草原监理站出具发放草原补贴清单，上报县乡财局</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绩效评价目的</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度本级财政下拨的木垒县乌孜别克族乡人民政府坎儿井景区建设项目林草占用补偿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绩效评价对象</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木垒县乌孜别克族乡人民政府坎儿井景区建设项目支出资金。</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绩效评价范围</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大南沟乌孜别克族乡人民政府坎儿井景区建设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绩效评价原则</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w:t>
      </w:r>
      <w:r>
        <w:rPr>
          <w:rStyle w:val="18"/>
          <w:rFonts w:ascii="楷体" w:hAnsi="楷体" w:eastAsia="楷体"/>
          <w:b w:val="0"/>
          <w:bCs w:val="0"/>
          <w:spacing w:val="-4"/>
          <w:sz w:val="32"/>
          <w:szCs w:val="32"/>
        </w:rPr>
        <w:t>&lt;</w:t>
      </w:r>
      <w:r>
        <w:rPr>
          <w:rStyle w:val="18"/>
          <w:rFonts w:hint="eastAsia" w:ascii="楷体" w:hAnsi="楷体" w:eastAsia="楷体"/>
          <w:b w:val="0"/>
          <w:bCs w:val="0"/>
          <w:spacing w:val="-4"/>
          <w:sz w:val="32"/>
          <w:szCs w:val="32"/>
        </w:rPr>
        <w:t>项目支出绩效评价管理办法</w:t>
      </w:r>
      <w:r>
        <w:rPr>
          <w:rStyle w:val="18"/>
          <w:rFonts w:ascii="楷体" w:hAnsi="楷体" w:eastAsia="楷体"/>
          <w:b w:val="0"/>
          <w:bCs w:val="0"/>
          <w:spacing w:val="-4"/>
          <w:sz w:val="32"/>
          <w:szCs w:val="32"/>
        </w:rPr>
        <w:t>&gt;</w:t>
      </w:r>
      <w:r>
        <w:rPr>
          <w:rStyle w:val="18"/>
          <w:rFonts w:hint="eastAsia" w:ascii="楷体" w:hAnsi="楷体" w:eastAsia="楷体"/>
          <w:b w:val="0"/>
          <w:bCs w:val="0"/>
          <w:spacing w:val="-4"/>
          <w:sz w:val="32"/>
          <w:szCs w:val="32"/>
        </w:rPr>
        <w:t>的通知》（财预【</w:t>
      </w:r>
      <w:r>
        <w:rPr>
          <w:rStyle w:val="18"/>
          <w:rFonts w:ascii="楷体" w:hAnsi="楷体" w:eastAsia="楷体"/>
          <w:b w:val="0"/>
          <w:bCs w:val="0"/>
          <w:spacing w:val="-4"/>
          <w:sz w:val="32"/>
          <w:szCs w:val="32"/>
        </w:rPr>
        <w:t>2020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10</w:t>
      </w:r>
      <w:r>
        <w:rPr>
          <w:rStyle w:val="18"/>
          <w:rFonts w:hint="eastAsia" w:ascii="楷体" w:hAnsi="楷体" w:eastAsia="楷体"/>
          <w:b w:val="0"/>
          <w:bCs w:val="0"/>
          <w:spacing w:val="-4"/>
          <w:sz w:val="32"/>
          <w:szCs w:val="32"/>
        </w:rPr>
        <w:t>号）等文件要求，按照科学合理的方式，综合分析考核项目的绩效情况。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）科学规范原则。坚持严格执行规定的程序，按照科学可行的要求，采用定量与定性分析相结合的方法。</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）公正公开原则。坚持符合真实、客观、公正的要求，依法公开并接受监督。</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）分级分类原则。坚持根据评价对象的特点分类组织实施。</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）绩效相关原则。应当针对具体支出及其产出绩效进行，评价结果应当清晰反映支出和产出绩效之间的紧密对应关系。</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评价指标体系</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个一级指标，其中：项目决策下项目立项、绩效目标、资金投入</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个二级指标；过程下设资金管理和组织实施</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个二级指标。个性指标下设产出和效益</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个一级指标，其中产出下设产出数量、产出质量、产出时效、产出成本</w:t>
      </w:r>
      <w:r>
        <w:rPr>
          <w:rStyle w:val="18"/>
          <w:rFonts w:ascii="楷体" w:hAnsi="楷体" w:eastAsia="楷体"/>
          <w:b w:val="0"/>
          <w:bCs w:val="0"/>
          <w:spacing w:val="-4"/>
          <w:sz w:val="32"/>
          <w:szCs w:val="32"/>
        </w:rPr>
        <w:t>7</w:t>
      </w:r>
      <w:r>
        <w:rPr>
          <w:rStyle w:val="18"/>
          <w:rFonts w:hint="eastAsia" w:ascii="楷体" w:hAnsi="楷体" w:eastAsia="楷体"/>
          <w:b w:val="0"/>
          <w:bCs w:val="0"/>
          <w:spacing w:val="-4"/>
          <w:sz w:val="32"/>
          <w:szCs w:val="32"/>
        </w:rPr>
        <w:t>个</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级指标，效益下设项目效益</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个二级指标。并以此设定各项指标的分值分配：决策、过程、产出、效果。本次绩效评价实行百分制，即各项指标值之和为</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分，项目采用综合评分法进行绩效评价。见附表</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评价方法</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评价标准</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“定性的调查信息的归纳和提炼”，两种方式互相补充以构成对本次项目的完整评价。</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财预〔</w:t>
      </w:r>
      <w:r>
        <w:rPr>
          <w:rStyle w:val="18"/>
          <w:rFonts w:ascii="楷体" w:hAnsi="楷体" w:eastAsia="楷体"/>
          <w:b w:val="0"/>
          <w:bCs w:val="0"/>
          <w:spacing w:val="-4"/>
          <w:sz w:val="32"/>
          <w:szCs w:val="32"/>
        </w:rPr>
        <w:t>2020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10</w:t>
      </w:r>
      <w:r>
        <w:rPr>
          <w:rStyle w:val="18"/>
          <w:rFonts w:hint="eastAsia" w:ascii="楷体" w:hAnsi="楷体" w:eastAsia="楷体"/>
          <w:b w:val="0"/>
          <w:bCs w:val="0"/>
          <w:spacing w:val="-4"/>
          <w:sz w:val="32"/>
          <w:szCs w:val="32"/>
        </w:rPr>
        <w:t>号</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的规定，绩效评价结果采取评分和评级相结合的方式，具体分值和等级可根据不同评价内容设定。总分设置为</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分，等级划分为四档：</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（含）</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分为“优”、</w:t>
      </w:r>
      <w:r>
        <w:rPr>
          <w:rStyle w:val="18"/>
          <w:rFonts w:ascii="楷体" w:hAnsi="楷体" w:eastAsia="楷体"/>
          <w:b w:val="0"/>
          <w:bCs w:val="0"/>
          <w:spacing w:val="-4"/>
          <w:sz w:val="32"/>
          <w:szCs w:val="32"/>
        </w:rPr>
        <w:t>80</w:t>
      </w:r>
      <w:r>
        <w:rPr>
          <w:rStyle w:val="18"/>
          <w:rFonts w:hint="eastAsia" w:ascii="楷体" w:hAnsi="楷体" w:eastAsia="楷体"/>
          <w:b w:val="0"/>
          <w:bCs w:val="0"/>
          <w:spacing w:val="-4"/>
          <w:sz w:val="32"/>
          <w:szCs w:val="32"/>
        </w:rPr>
        <w:t>（含）</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分为“良”、</w:t>
      </w:r>
      <w:r>
        <w:rPr>
          <w:rStyle w:val="18"/>
          <w:rFonts w:ascii="楷体" w:hAnsi="楷体" w:eastAsia="楷体"/>
          <w:b w:val="0"/>
          <w:bCs w:val="0"/>
          <w:spacing w:val="-4"/>
          <w:sz w:val="32"/>
          <w:szCs w:val="32"/>
        </w:rPr>
        <w:t>60</w:t>
      </w:r>
      <w:r>
        <w:rPr>
          <w:rStyle w:val="18"/>
          <w:rFonts w:hint="eastAsia" w:ascii="楷体" w:hAnsi="楷体" w:eastAsia="楷体"/>
          <w:b w:val="0"/>
          <w:bCs w:val="0"/>
          <w:spacing w:val="-4"/>
          <w:sz w:val="32"/>
          <w:szCs w:val="32"/>
        </w:rPr>
        <w:t>（含）</w:t>
      </w:r>
      <w:r>
        <w:rPr>
          <w:rStyle w:val="18"/>
          <w:rFonts w:ascii="楷体" w:hAnsi="楷体" w:eastAsia="楷体"/>
          <w:b w:val="0"/>
          <w:bCs w:val="0"/>
          <w:spacing w:val="-4"/>
          <w:sz w:val="32"/>
          <w:szCs w:val="32"/>
        </w:rPr>
        <w:t>-80</w:t>
      </w:r>
      <w:r>
        <w:rPr>
          <w:rStyle w:val="18"/>
          <w:rFonts w:hint="eastAsia" w:ascii="楷体" w:hAnsi="楷体" w:eastAsia="楷体"/>
          <w:b w:val="0"/>
          <w:bCs w:val="0"/>
          <w:spacing w:val="-4"/>
          <w:sz w:val="32"/>
          <w:szCs w:val="32"/>
        </w:rPr>
        <w:t>分为“中”、</w:t>
      </w:r>
      <w:r>
        <w:rPr>
          <w:rStyle w:val="18"/>
          <w:rFonts w:ascii="楷体" w:hAnsi="楷体" w:eastAsia="楷体"/>
          <w:b w:val="0"/>
          <w:bCs w:val="0"/>
          <w:spacing w:val="-4"/>
          <w:sz w:val="32"/>
          <w:szCs w:val="32"/>
        </w:rPr>
        <w:t>60</w:t>
      </w:r>
      <w:r>
        <w:rPr>
          <w:rStyle w:val="18"/>
          <w:rFonts w:hint="eastAsia" w:ascii="楷体" w:hAnsi="楷体" w:eastAsia="楷体"/>
          <w:b w:val="0"/>
          <w:bCs w:val="0"/>
          <w:spacing w:val="-4"/>
          <w:sz w:val="32"/>
          <w:szCs w:val="32"/>
        </w:rPr>
        <w:t>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前期准备</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1.1 2024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日，我单位在收到自评工作任务后及时组织了绩效评价工作小组，其中王涛为组长，主要负责工作安排，贾景岿为副组长，主要负责报告的审核、指导，绩效评价工作小组组员负责资料、数据整理，编制报告。小组制定了项目评价的工作思路及工作安排，参考学习了相关政策制度、实施方案和相关的工作文件，为评价工作的开展提供工作指引。</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1.2 2024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7</w:t>
      </w:r>
      <w:r>
        <w:rPr>
          <w:rStyle w:val="18"/>
          <w:rFonts w:hint="eastAsia" w:ascii="楷体" w:hAnsi="楷体" w:eastAsia="楷体"/>
          <w:b w:val="0"/>
          <w:bCs w:val="0"/>
          <w:spacing w:val="-4"/>
          <w:sz w:val="32"/>
          <w:szCs w:val="32"/>
        </w:rPr>
        <w:t>日，评价组通过前期调研确定绩效评价对象和范围，确定了评价的目的、方法以及评价的原则；</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1.3  2024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15</w:t>
      </w:r>
      <w:r>
        <w:rPr>
          <w:rStyle w:val="18"/>
          <w:rFonts w:hint="eastAsia" w:ascii="楷体" w:hAnsi="楷体" w:eastAsia="楷体"/>
          <w:b w:val="0"/>
          <w:bCs w:val="0"/>
          <w:spacing w:val="-4"/>
          <w:sz w:val="32"/>
          <w:szCs w:val="32"/>
        </w:rPr>
        <w:t>日，根据项目的实施内容和特征制定了评价指标体系及评价标准以及评价实施方案，修正并确定所需资料清单，最终确定绩效评价工作方案；</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组织实施</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日</w:t>
      </w:r>
      <w:r>
        <w:rPr>
          <w:rStyle w:val="18"/>
          <w:rFonts w:ascii="楷体" w:hAnsi="楷体" w:eastAsia="楷体"/>
          <w:b w:val="0"/>
          <w:bCs w:val="0"/>
          <w:spacing w:val="-4"/>
          <w:sz w:val="32"/>
          <w:szCs w:val="32"/>
        </w:rPr>
        <w:t>- 4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15</w:t>
      </w:r>
      <w:r>
        <w:rPr>
          <w:rStyle w:val="18"/>
          <w:rFonts w:hint="eastAsia" w:ascii="楷体" w:hAnsi="楷体" w:eastAsia="楷体"/>
          <w:b w:val="0"/>
          <w:bCs w:val="0"/>
          <w:spacing w:val="-4"/>
          <w:sz w:val="32"/>
          <w:szCs w:val="32"/>
        </w:rPr>
        <w:t>日，评价工作进入实施阶段：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2.1  </w:t>
      </w:r>
      <w:r>
        <w:rPr>
          <w:rStyle w:val="18"/>
          <w:rFonts w:hint="eastAsia" w:ascii="楷体" w:hAnsi="楷体" w:eastAsia="楷体"/>
          <w:b w:val="0"/>
          <w:bCs w:val="0"/>
          <w:spacing w:val="-4"/>
          <w:sz w:val="32"/>
          <w:szCs w:val="32"/>
        </w:rPr>
        <w:t>评价组收集绩效评价相关数据资料，进行现场调研、座谈；</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2.2  </w:t>
      </w:r>
      <w:r>
        <w:rPr>
          <w:rStyle w:val="18"/>
          <w:rFonts w:hint="eastAsia" w:ascii="楷体" w:hAnsi="楷体" w:eastAsia="楷体"/>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分析评价：</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24</w:t>
      </w:r>
      <w:r>
        <w:rPr>
          <w:rStyle w:val="18"/>
          <w:rFonts w:hint="eastAsia" w:ascii="楷体" w:hAnsi="楷体" w:eastAsia="楷体"/>
          <w:b w:val="0"/>
          <w:bCs w:val="0"/>
          <w:spacing w:val="-4"/>
          <w:sz w:val="32"/>
          <w:szCs w:val="32"/>
        </w:rPr>
        <w:t>日</w:t>
      </w:r>
      <w:r>
        <w:rPr>
          <w:rStyle w:val="18"/>
          <w:rFonts w:ascii="楷体" w:hAnsi="楷体" w:eastAsia="楷体"/>
          <w:b w:val="0"/>
          <w:bCs w:val="0"/>
          <w:spacing w:val="-4"/>
          <w:sz w:val="32"/>
          <w:szCs w:val="32"/>
        </w:rPr>
        <w:t>- 4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28</w:t>
      </w:r>
      <w:r>
        <w:rPr>
          <w:rStyle w:val="18"/>
          <w:rFonts w:hint="eastAsia" w:ascii="楷体" w:hAnsi="楷体" w:eastAsia="楷体"/>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撰写报告</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资料归档</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（一）综合评价情况及评价结论</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大南沟乌孜别克族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分。</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项目决策</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项目过程</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项目产出</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项目效益</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合计分值</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ascii="楷体" w:hAnsi="楷体" w:eastAsia="楷体"/>
          <w:b w:val="0"/>
          <w:bCs w:val="0"/>
          <w:spacing w:val="-4"/>
          <w:sz w:val="32"/>
          <w:szCs w:val="32"/>
        </w:rPr>
        <w:t xml:space="preserve"> 15 15 50 20 100</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ascii="楷体" w:hAnsi="楷体" w:eastAsia="楷体"/>
          <w:b w:val="0"/>
          <w:bCs w:val="0"/>
          <w:spacing w:val="-4"/>
          <w:sz w:val="32"/>
          <w:szCs w:val="32"/>
        </w:rPr>
        <w:t xml:space="preserve"> 15 15 50 20 100</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立项依据充分性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）项目立项依据木党财【</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号文件</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木垒哈萨克自治县党委财经会会议纪要。</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）项目立项依据木财预字（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号文件</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木垒县专项资金审批表。</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）项目立项依据乌乡政发【</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7</w:t>
      </w:r>
      <w:r>
        <w:rPr>
          <w:rStyle w:val="18"/>
          <w:rFonts w:hint="eastAsia" w:ascii="楷体" w:hAnsi="楷体" w:eastAsia="楷体"/>
          <w:b w:val="0"/>
          <w:bCs w:val="0"/>
          <w:spacing w:val="-4"/>
          <w:sz w:val="32"/>
          <w:szCs w:val="32"/>
        </w:rPr>
        <w:t>号</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关于申请木垒县坎儿井景区建设项目林草占地相关费用的报告。</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立项程序规范性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②审批文件、材料：本项目审批文件有：《木党财【</w:t>
      </w:r>
      <w:r>
        <w:rPr>
          <w:rStyle w:val="18"/>
          <w:rFonts w:ascii="楷体" w:hAnsi="楷体" w:eastAsia="楷体"/>
          <w:b w:val="0"/>
          <w:bCs w:val="0"/>
          <w:spacing w:val="-4"/>
          <w:sz w:val="32"/>
          <w:szCs w:val="32"/>
        </w:rPr>
        <w:t>2021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号》、《木财预字（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号》、《乌乡政发【</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7</w:t>
      </w:r>
      <w:r>
        <w:rPr>
          <w:rStyle w:val="18"/>
          <w:rFonts w:hint="eastAsia" w:ascii="楷体" w:hAnsi="楷体" w:eastAsia="楷体"/>
          <w:b w:val="0"/>
          <w:bCs w:val="0"/>
          <w:spacing w:val="-4"/>
          <w:sz w:val="32"/>
          <w:szCs w:val="32"/>
        </w:rPr>
        <w:t>号》、《木垒县本级专项资金审批表》审批文件及材料齐全；</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绩效目标合理性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大南沟乌孜别克族乡坎儿井景区建设项目林草占用补偿项目设立了项目绩效目标，与方法木垒县大南沟乌孜别克族乡坎儿井景区建设项目林草占用补偿具有相关性，项目的预期产出效益和效果也均能符合正常的业绩水平，并且与预算确定的项目投资额或资金量相匹配。</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绩效指标明确性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木垒县大南沟乌孜别克族乡坎儿井景区建设项目林草占用补偿项目将项目绩效目标细化分解为具体的绩效指标，一级指标共</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条，二级指标共</w:t>
      </w:r>
      <w:r>
        <w:rPr>
          <w:rStyle w:val="18"/>
          <w:rFonts w:ascii="楷体" w:hAnsi="楷体" w:eastAsia="楷体"/>
          <w:b w:val="0"/>
          <w:bCs w:val="0"/>
          <w:spacing w:val="-4"/>
          <w:sz w:val="32"/>
          <w:szCs w:val="32"/>
        </w:rPr>
        <w:t>9</w:t>
      </w:r>
      <w:r>
        <w:rPr>
          <w:rStyle w:val="18"/>
          <w:rFonts w:hint="eastAsia" w:ascii="楷体" w:hAnsi="楷体" w:eastAsia="楷体"/>
          <w:b w:val="0"/>
          <w:bCs w:val="0"/>
          <w:spacing w:val="-4"/>
          <w:sz w:val="32"/>
          <w:szCs w:val="32"/>
        </w:rPr>
        <w:t>条，三级指标共</w:t>
      </w:r>
      <w:r>
        <w:rPr>
          <w:rStyle w:val="18"/>
          <w:rFonts w:ascii="楷体" w:hAnsi="楷体" w:eastAsia="楷体"/>
          <w:b w:val="0"/>
          <w:bCs w:val="0"/>
          <w:spacing w:val="-4"/>
          <w:sz w:val="32"/>
          <w:szCs w:val="32"/>
        </w:rPr>
        <w:t>13</w:t>
      </w:r>
      <w:r>
        <w:rPr>
          <w:rStyle w:val="18"/>
          <w:rFonts w:hint="eastAsia" w:ascii="楷体" w:hAnsi="楷体" w:eastAsia="楷体"/>
          <w:b w:val="0"/>
          <w:bCs w:val="0"/>
          <w:spacing w:val="-4"/>
          <w:sz w:val="32"/>
          <w:szCs w:val="32"/>
        </w:rPr>
        <w:t>条，其中量化指标条数共</w:t>
      </w:r>
      <w:r>
        <w:rPr>
          <w:rStyle w:val="18"/>
          <w:rFonts w:ascii="楷体" w:hAnsi="楷体" w:eastAsia="楷体"/>
          <w:b w:val="0"/>
          <w:bCs w:val="0"/>
          <w:spacing w:val="-4"/>
          <w:sz w:val="32"/>
          <w:szCs w:val="32"/>
        </w:rPr>
        <w:t>13</w:t>
      </w:r>
      <w:r>
        <w:rPr>
          <w:rStyle w:val="18"/>
          <w:rFonts w:hint="eastAsia" w:ascii="楷体" w:hAnsi="楷体" w:eastAsia="楷体"/>
          <w:b w:val="0"/>
          <w:bCs w:val="0"/>
          <w:spacing w:val="-4"/>
          <w:sz w:val="32"/>
          <w:szCs w:val="32"/>
        </w:rPr>
        <w:t>条，所有绩效指标均通过清晰、可衡量的指标值予以体现，并且做到了与项目目标任务数或计划数相对应。</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预算编制科学性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本项目建设内容及工程量严格按照《建设工程工程量清单计价规范》（</w:t>
      </w:r>
      <w:r>
        <w:rPr>
          <w:rStyle w:val="18"/>
          <w:rFonts w:ascii="楷体" w:hAnsi="楷体" w:eastAsia="楷体"/>
          <w:b w:val="0"/>
          <w:bCs w:val="0"/>
          <w:spacing w:val="-4"/>
          <w:sz w:val="32"/>
          <w:szCs w:val="32"/>
        </w:rPr>
        <w:t>GB50500-2013</w:t>
      </w:r>
      <w:r>
        <w:rPr>
          <w:rStyle w:val="18"/>
          <w:rFonts w:hint="eastAsia" w:ascii="楷体" w:hAnsi="楷体" w:eastAsia="楷体"/>
          <w:b w:val="0"/>
          <w:bCs w:val="0"/>
          <w:spacing w:val="-4"/>
          <w:sz w:val="32"/>
          <w:szCs w:val="32"/>
        </w:rPr>
        <w:t>）规定计算，项目预算编制根据项目建设内容进行计算，预算数经过木垒哈萨克自治县党委财经会议及专家论证确定，预算内容与项目内容无偏差，预算额度测算依据充分，项目投资额与工作任务匹配性</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，不存在偏差性。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6.</w:t>
      </w:r>
      <w:r>
        <w:rPr>
          <w:rStyle w:val="18"/>
          <w:rFonts w:hint="eastAsia" w:ascii="楷体" w:hAnsi="楷体" w:eastAsia="楷体"/>
          <w:b w:val="0"/>
          <w:bCs w:val="0"/>
          <w:spacing w:val="-4"/>
          <w:sz w:val="32"/>
          <w:szCs w:val="32"/>
        </w:rPr>
        <w:t>资金分配合理性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本项目预算资金分配依据《木财预字（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号》，项目资金分配额度无偏低或偏高情况，分配额度合理。项目单位为木垒县大南沟乌孜别克族乡人民政府单位位于木垒县县，资金分配与单位实际相适应。</w:t>
      </w:r>
      <w:r>
        <w:rPr>
          <w:rStyle w:val="18"/>
          <w:rFonts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资金到位率：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万元，预算资金</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万元，资金到位率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预算执行率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万元，全年预算数</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万元，全年执行数</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万元，预算执行率为</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资金使用合规性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3.1 </w:t>
      </w:r>
      <w:r>
        <w:rPr>
          <w:rStyle w:val="18"/>
          <w:rFonts w:hint="eastAsia" w:ascii="楷体" w:hAnsi="楷体" w:eastAsia="楷体"/>
          <w:b w:val="0"/>
          <w:bCs w:val="0"/>
          <w:spacing w:val="-4"/>
          <w:sz w:val="32"/>
          <w:szCs w:val="32"/>
        </w:rPr>
        <w:t>资金使用符合、财务管理制度以及有关专项资金管理办法的规定；</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3.2 </w:t>
      </w:r>
      <w:r>
        <w:rPr>
          <w:rStyle w:val="18"/>
          <w:rFonts w:hint="eastAsia" w:ascii="楷体" w:hAnsi="楷体" w:eastAsia="楷体"/>
          <w:b w:val="0"/>
          <w:bCs w:val="0"/>
          <w:spacing w:val="-4"/>
          <w:sz w:val="32"/>
          <w:szCs w:val="32"/>
        </w:rPr>
        <w:t>资金的拨付严格按照木垒县大南沟乌孜别克族乡人民政府单位资金拨付审批程序进行：由乡农业发展中心科室提交申请到乡党委会研究，经审批后提交到财政所。项目资金拨付手续齐全，资金拨付手续有：木垒县本级专项资金使用审批表、资金发放表、村两委会会议纪要、乡党委会会议纪要。</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3.3 </w:t>
      </w:r>
      <w:r>
        <w:rPr>
          <w:rStyle w:val="18"/>
          <w:rFonts w:hint="eastAsia" w:ascii="楷体" w:hAnsi="楷体" w:eastAsia="楷体"/>
          <w:b w:val="0"/>
          <w:bCs w:val="0"/>
          <w:spacing w:val="-4"/>
          <w:sz w:val="32"/>
          <w:szCs w:val="32"/>
        </w:rPr>
        <w:t>本项目资金合同规定的用途为：木垒县大南沟乌孜别克族乡坎儿井景区建设项目林草占用补偿项目。符合补偿资金项目预算批复及合同规定的用途；</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3.4 </w:t>
      </w:r>
      <w:r>
        <w:rPr>
          <w:rStyle w:val="18"/>
          <w:rFonts w:hint="eastAsia" w:ascii="楷体" w:hAnsi="楷体" w:eastAsia="楷体"/>
          <w:b w:val="0"/>
          <w:bCs w:val="0"/>
          <w:spacing w:val="-4"/>
          <w:sz w:val="32"/>
          <w:szCs w:val="32"/>
        </w:rPr>
        <w:t>项目资金截至</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日已拨付至</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，过程不存在截留、挤占、挪用、虚列支出等情况。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管理制度健全性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4.1 </w:t>
      </w:r>
      <w:r>
        <w:rPr>
          <w:rStyle w:val="18"/>
          <w:rFonts w:hint="eastAsia" w:ascii="楷体" w:hAnsi="楷体" w:eastAsia="楷体"/>
          <w:b w:val="0"/>
          <w:bCs w:val="0"/>
          <w:spacing w:val="-4"/>
          <w:sz w:val="32"/>
          <w:szCs w:val="32"/>
        </w:rPr>
        <w:t>本项目已制定《木垒县大南沟乌孜别克族乡人民政府补偿类项目财务管理制度》、《木垒县大南沟乌孜别克族乡人民政府补偿类项目业务管理制度》，管理制度健全；</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4.2 </w:t>
      </w:r>
      <w:r>
        <w:rPr>
          <w:rStyle w:val="18"/>
          <w:rFonts w:hint="eastAsia" w:ascii="楷体" w:hAnsi="楷体" w:eastAsia="楷体"/>
          <w:b w:val="0"/>
          <w:bCs w:val="0"/>
          <w:spacing w:val="-4"/>
          <w:sz w:val="32"/>
          <w:szCs w:val="32"/>
        </w:rPr>
        <w:t>本项目财务及业务管理制度符合《中华人民共和国政府采购法》、《中华人民共和国会计法》等相关法律法规，财务和业务管理制度已经过县财政审批通过，确保了各项制度的合法合规性及完整性。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制度执行有效性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5.1 </w:t>
      </w:r>
      <w:r>
        <w:rPr>
          <w:rStyle w:val="18"/>
          <w:rFonts w:hint="eastAsia" w:ascii="楷体" w:hAnsi="楷体" w:eastAsia="楷体"/>
          <w:b w:val="0"/>
          <w:bCs w:val="0"/>
          <w:spacing w:val="-4"/>
          <w:sz w:val="32"/>
          <w:szCs w:val="32"/>
        </w:rPr>
        <w:t>项目的审批、招标、建设、验收过程均遵守相关法律法规和相关管理规定；</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5.2 </w:t>
      </w:r>
      <w:r>
        <w:rPr>
          <w:rStyle w:val="18"/>
          <w:rFonts w:hint="eastAsia" w:ascii="楷体" w:hAnsi="楷体" w:eastAsia="楷体"/>
          <w:b w:val="0"/>
          <w:bCs w:val="0"/>
          <w:spacing w:val="-4"/>
          <w:sz w:val="32"/>
          <w:szCs w:val="32"/>
        </w:rPr>
        <w:t>本项目无调整情况；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5.3 </w:t>
      </w:r>
      <w:r>
        <w:rPr>
          <w:rStyle w:val="18"/>
          <w:rFonts w:hint="eastAsia" w:ascii="楷体" w:hAnsi="楷体" w:eastAsia="楷体"/>
          <w:b w:val="0"/>
          <w:bCs w:val="0"/>
          <w:spacing w:val="-4"/>
          <w:sz w:val="32"/>
          <w:szCs w:val="32"/>
        </w:rPr>
        <w:t>项目发放表，银行代发单子等资料齐全并已及时归档，档案编号：</w:t>
      </w:r>
      <w:r>
        <w:rPr>
          <w:rStyle w:val="18"/>
          <w:rFonts w:ascii="楷体" w:hAnsi="楷体" w:eastAsia="楷体"/>
          <w:b w:val="0"/>
          <w:bCs w:val="0"/>
          <w:spacing w:val="-4"/>
          <w:sz w:val="32"/>
          <w:szCs w:val="32"/>
        </w:rPr>
        <w:t>2023-03-05</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5.4 </w:t>
      </w:r>
      <w:r>
        <w:rPr>
          <w:rStyle w:val="18"/>
          <w:rFonts w:hint="eastAsia" w:ascii="楷体" w:hAnsi="楷体" w:eastAsia="楷体"/>
          <w:b w:val="0"/>
          <w:bCs w:val="0"/>
          <w:spacing w:val="-4"/>
          <w:sz w:val="32"/>
          <w:szCs w:val="32"/>
        </w:rPr>
        <w:t>项目资金的发放均已落实到位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我单位木垒县大南沟乌孜别克族乡坎儿井景区建设项目林草占用补偿项目截止到</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31</w:t>
      </w:r>
      <w:r>
        <w:rPr>
          <w:rStyle w:val="18"/>
          <w:rFonts w:hint="eastAsia" w:ascii="楷体" w:hAnsi="楷体" w:eastAsia="楷体"/>
          <w:b w:val="0"/>
          <w:bCs w:val="0"/>
          <w:spacing w:val="-4"/>
          <w:sz w:val="32"/>
          <w:szCs w:val="32"/>
        </w:rPr>
        <w:t>日，已完成</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；其中：</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项目完成数量</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：补偿村民人数，指标值：</w:t>
      </w:r>
      <w:r>
        <w:rPr>
          <w:rStyle w:val="18"/>
          <w:rFonts w:ascii="楷体" w:hAnsi="楷体" w:eastAsia="楷体"/>
          <w:b w:val="0"/>
          <w:bCs w:val="0"/>
          <w:spacing w:val="-4"/>
          <w:sz w:val="32"/>
          <w:szCs w:val="32"/>
        </w:rPr>
        <w:t>=73</w:t>
      </w:r>
      <w:r>
        <w:rPr>
          <w:rStyle w:val="18"/>
          <w:rFonts w:hint="eastAsia" w:ascii="楷体" w:hAnsi="楷体" w:eastAsia="楷体"/>
          <w:b w:val="0"/>
          <w:bCs w:val="0"/>
          <w:spacing w:val="-4"/>
          <w:sz w:val="32"/>
          <w:szCs w:val="32"/>
        </w:rPr>
        <w:t>人，实际完成值</w:t>
      </w:r>
      <w:r>
        <w:rPr>
          <w:rStyle w:val="18"/>
          <w:rFonts w:ascii="楷体" w:hAnsi="楷体" w:eastAsia="楷体"/>
          <w:b w:val="0"/>
          <w:bCs w:val="0"/>
          <w:spacing w:val="-4"/>
          <w:sz w:val="32"/>
          <w:szCs w:val="32"/>
        </w:rPr>
        <w:t>73</w:t>
      </w:r>
      <w:r>
        <w:rPr>
          <w:rStyle w:val="18"/>
          <w:rFonts w:hint="eastAsia" w:ascii="楷体" w:hAnsi="楷体" w:eastAsia="楷体"/>
          <w:b w:val="0"/>
          <w:bCs w:val="0"/>
          <w:spacing w:val="-4"/>
          <w:sz w:val="32"/>
          <w:szCs w:val="32"/>
        </w:rPr>
        <w:t>人</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100 %</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：临时占用草场补偿面积，指标值：</w:t>
      </w:r>
      <w:r>
        <w:rPr>
          <w:rStyle w:val="18"/>
          <w:rFonts w:ascii="楷体" w:hAnsi="楷体" w:eastAsia="楷体"/>
          <w:b w:val="0"/>
          <w:bCs w:val="0"/>
          <w:spacing w:val="-4"/>
          <w:sz w:val="32"/>
          <w:szCs w:val="32"/>
        </w:rPr>
        <w:t>=2359.6</w:t>
      </w:r>
      <w:r>
        <w:rPr>
          <w:rStyle w:val="18"/>
          <w:rFonts w:hint="eastAsia" w:ascii="楷体" w:hAnsi="楷体" w:eastAsia="楷体"/>
          <w:b w:val="0"/>
          <w:bCs w:val="0"/>
          <w:spacing w:val="-4"/>
          <w:sz w:val="32"/>
          <w:szCs w:val="32"/>
        </w:rPr>
        <w:t>亩，实际完成值</w:t>
      </w:r>
      <w:r>
        <w:rPr>
          <w:rStyle w:val="18"/>
          <w:rFonts w:ascii="楷体" w:hAnsi="楷体" w:eastAsia="楷体"/>
          <w:b w:val="0"/>
          <w:bCs w:val="0"/>
          <w:spacing w:val="-4"/>
          <w:sz w:val="32"/>
          <w:szCs w:val="32"/>
        </w:rPr>
        <w:t>2359.6</w:t>
      </w:r>
      <w:r>
        <w:rPr>
          <w:rStyle w:val="18"/>
          <w:rFonts w:hint="eastAsia" w:ascii="楷体" w:hAnsi="楷体" w:eastAsia="楷体"/>
          <w:b w:val="0"/>
          <w:bCs w:val="0"/>
          <w:spacing w:val="-4"/>
          <w:sz w:val="32"/>
          <w:szCs w:val="32"/>
        </w:rPr>
        <w:t>亩，指标完成率</w:t>
      </w:r>
      <w:r>
        <w:rPr>
          <w:rStyle w:val="18"/>
          <w:rFonts w:ascii="楷体" w:hAnsi="楷体" w:eastAsia="楷体"/>
          <w:b w:val="0"/>
          <w:bCs w:val="0"/>
          <w:spacing w:val="-4"/>
          <w:sz w:val="32"/>
          <w:szCs w:val="32"/>
        </w:rPr>
        <w:t>100 %</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：惠及行政村，指标值：</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个，实际完成值</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个，指标完成率</w:t>
      </w:r>
      <w:r>
        <w:rPr>
          <w:rStyle w:val="18"/>
          <w:rFonts w:ascii="楷体" w:hAnsi="楷体" w:eastAsia="楷体"/>
          <w:b w:val="0"/>
          <w:bCs w:val="0"/>
          <w:spacing w:val="-4"/>
          <w:sz w:val="32"/>
          <w:szCs w:val="32"/>
        </w:rPr>
        <w:t>100 %</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：方法补偿次数，指标值：</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次，实际完成值</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次，指标完成率</w:t>
      </w:r>
      <w:r>
        <w:rPr>
          <w:rStyle w:val="18"/>
          <w:rFonts w:ascii="楷体" w:hAnsi="楷体" w:eastAsia="楷体"/>
          <w:b w:val="0"/>
          <w:bCs w:val="0"/>
          <w:spacing w:val="-4"/>
          <w:sz w:val="32"/>
          <w:szCs w:val="32"/>
        </w:rPr>
        <w:t>100 %</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项目完成质量：</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：补偿资金发放率，指标值：</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 xml:space="preserve">100%  </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：补偿标准执行率，指标值：</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 xml:space="preserve">100%  </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100 %</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项目完成时效</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：补偿资金发放及时率，指标值：</w:t>
      </w:r>
      <w:r>
        <w:rPr>
          <w:rStyle w:val="18"/>
          <w:rFonts w:ascii="楷体" w:hAnsi="楷体" w:eastAsia="楷体"/>
          <w:b w:val="0"/>
          <w:bCs w:val="0"/>
          <w:spacing w:val="-4"/>
          <w:sz w:val="32"/>
          <w:szCs w:val="32"/>
        </w:rPr>
        <w:t xml:space="preserve">=100%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项目完成成本</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：临时占用草场补偿标准，指标值：≤</w:t>
      </w:r>
      <w:r>
        <w:rPr>
          <w:rStyle w:val="18"/>
          <w:rFonts w:ascii="楷体" w:hAnsi="楷体" w:eastAsia="楷体"/>
          <w:b w:val="0"/>
          <w:bCs w:val="0"/>
          <w:spacing w:val="-4"/>
          <w:sz w:val="32"/>
          <w:szCs w:val="32"/>
        </w:rPr>
        <w:t>1480</w:t>
      </w:r>
      <w:r>
        <w:rPr>
          <w:rStyle w:val="18"/>
          <w:rFonts w:hint="eastAsia" w:ascii="楷体" w:hAnsi="楷体" w:eastAsia="楷体"/>
          <w:b w:val="0"/>
          <w:bCs w:val="0"/>
          <w:spacing w:val="-4"/>
          <w:sz w:val="32"/>
          <w:szCs w:val="32"/>
        </w:rPr>
        <w:t>元</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亩</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1480</w:t>
      </w:r>
      <w:r>
        <w:rPr>
          <w:rStyle w:val="18"/>
          <w:rFonts w:hint="eastAsia" w:ascii="楷体" w:hAnsi="楷体" w:eastAsia="楷体"/>
          <w:b w:val="0"/>
          <w:bCs w:val="0"/>
          <w:spacing w:val="-4"/>
          <w:sz w:val="32"/>
          <w:szCs w:val="32"/>
        </w:rPr>
        <w:t>元</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亩，指标完成率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：发生群众投诉事件，指标值：</w:t>
      </w:r>
      <w:r>
        <w:rPr>
          <w:rStyle w:val="18"/>
          <w:rFonts w:ascii="楷体" w:hAnsi="楷体" w:eastAsia="楷体"/>
          <w:b w:val="0"/>
          <w:bCs w:val="0"/>
          <w:spacing w:val="-4"/>
          <w:sz w:val="32"/>
          <w:szCs w:val="32"/>
        </w:rPr>
        <w:t>=0</w:t>
      </w:r>
      <w:r>
        <w:rPr>
          <w:rStyle w:val="18"/>
          <w:rFonts w:hint="eastAsia" w:ascii="楷体" w:hAnsi="楷体" w:eastAsia="楷体"/>
          <w:b w:val="0"/>
          <w:bCs w:val="0"/>
          <w:spacing w:val="-4"/>
          <w:sz w:val="32"/>
          <w:szCs w:val="32"/>
        </w:rPr>
        <w:t>起</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0</w:t>
      </w:r>
      <w:r>
        <w:rPr>
          <w:rStyle w:val="18"/>
          <w:rFonts w:hint="eastAsia" w:ascii="楷体" w:hAnsi="楷体" w:eastAsia="楷体"/>
          <w:b w:val="0"/>
          <w:bCs w:val="0"/>
          <w:spacing w:val="-4"/>
          <w:sz w:val="32"/>
          <w:szCs w:val="32"/>
        </w:rPr>
        <w:t>起，指标完成率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：草场破坏率，指标值：≤</w:t>
      </w:r>
      <w:r>
        <w:rPr>
          <w:rStyle w:val="18"/>
          <w:rFonts w:ascii="楷体" w:hAnsi="楷体" w:eastAsia="楷体"/>
          <w:b w:val="0"/>
          <w:bCs w:val="0"/>
          <w:spacing w:val="-4"/>
          <w:sz w:val="32"/>
          <w:szCs w:val="32"/>
        </w:rPr>
        <w:t xml:space="preserve">6%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6%</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我单位木垒县大南沟乌孜别克族乡坎儿井景区建设项目林草占用补偿项目截止到</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31</w:t>
      </w:r>
      <w:r>
        <w:rPr>
          <w:rStyle w:val="18"/>
          <w:rFonts w:hint="eastAsia" w:ascii="楷体" w:hAnsi="楷体" w:eastAsia="楷体"/>
          <w:b w:val="0"/>
          <w:bCs w:val="0"/>
          <w:spacing w:val="-4"/>
          <w:sz w:val="32"/>
          <w:szCs w:val="32"/>
        </w:rPr>
        <w:t>日，已完成</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；其中：</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项目实施的社会效益分析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：补偿被使用村民收入占当地农村居民收入</w:t>
      </w:r>
      <w:r>
        <w:rPr>
          <w:rStyle w:val="18"/>
          <w:rFonts w:hint="eastAsia" w:ascii="楷体" w:hAnsi="楷体" w:eastAsia="楷体"/>
          <w:b w:val="0"/>
          <w:bCs w:val="0"/>
          <w:spacing w:val="-4"/>
          <w:sz w:val="32"/>
          <w:szCs w:val="32"/>
          <w:lang w:eastAsia="zh-CN"/>
        </w:rPr>
        <w:t>比例</w:t>
      </w:r>
      <w:r>
        <w:rPr>
          <w:rStyle w:val="18"/>
          <w:rFonts w:hint="eastAsia" w:ascii="楷体" w:hAnsi="楷体" w:eastAsia="楷体"/>
          <w:b w:val="0"/>
          <w:bCs w:val="0"/>
          <w:spacing w:val="-4"/>
          <w:sz w:val="32"/>
          <w:szCs w:val="32"/>
        </w:rPr>
        <w:t>，指标值：≥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项目实施的生态效益分析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：草场生态环境保护率，指标值：≥</w:t>
      </w:r>
      <w:r>
        <w:rPr>
          <w:rStyle w:val="18"/>
          <w:rFonts w:ascii="楷体" w:hAnsi="楷体" w:eastAsia="楷体"/>
          <w:b w:val="0"/>
          <w:bCs w:val="0"/>
          <w:spacing w:val="-4"/>
          <w:sz w:val="32"/>
          <w:szCs w:val="32"/>
        </w:rPr>
        <w:t xml:space="preserve">98%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98%</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：村民对草原临时补偿政策实施满意度，指标值：≥</w:t>
      </w:r>
      <w:r>
        <w:rPr>
          <w:rStyle w:val="18"/>
          <w:rFonts w:ascii="楷体" w:hAnsi="楷体" w:eastAsia="楷体"/>
          <w:b w:val="0"/>
          <w:bCs w:val="0"/>
          <w:spacing w:val="-4"/>
          <w:sz w:val="32"/>
          <w:szCs w:val="32"/>
        </w:rPr>
        <w:t xml:space="preserve">80%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80%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根据木垒县大南沟乌孜别克族乡坎儿井景区建设项目林草占用补偿项目内容及工程进度，木垒县大南沟乌孜别克族乡于</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28</w:t>
      </w:r>
      <w:r>
        <w:rPr>
          <w:rStyle w:val="18"/>
          <w:rFonts w:hint="eastAsia" w:ascii="楷体" w:hAnsi="楷体" w:eastAsia="楷体"/>
          <w:b w:val="0"/>
          <w:bCs w:val="0"/>
          <w:spacing w:val="-4"/>
          <w:sz w:val="32"/>
          <w:szCs w:val="32"/>
        </w:rPr>
        <w:t>日拨付</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万元至木垒县农商银行营业部代发户、木垒县农商银行营业部于</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日代发</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万元至农户卡上。截至</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31</w:t>
      </w:r>
      <w:r>
        <w:rPr>
          <w:rStyle w:val="18"/>
          <w:rFonts w:hint="eastAsia" w:ascii="楷体" w:hAnsi="楷体" w:eastAsia="楷体"/>
          <w:b w:val="0"/>
          <w:bCs w:val="0"/>
          <w:spacing w:val="-4"/>
          <w:sz w:val="32"/>
          <w:szCs w:val="32"/>
        </w:rPr>
        <w:t>日已执行</w:t>
      </w:r>
      <w:r>
        <w:rPr>
          <w:rStyle w:val="18"/>
          <w:rFonts w:ascii="楷体" w:hAnsi="楷体" w:eastAsia="楷体"/>
          <w:b w:val="0"/>
          <w:bCs w:val="0"/>
          <w:spacing w:val="-4"/>
          <w:sz w:val="32"/>
          <w:szCs w:val="32"/>
        </w:rPr>
        <w:t>209.53</w:t>
      </w:r>
      <w:r>
        <w:rPr>
          <w:rStyle w:val="18"/>
          <w:rFonts w:hint="eastAsia" w:ascii="楷体" w:hAnsi="楷体" w:eastAsia="楷体"/>
          <w:b w:val="0"/>
          <w:bCs w:val="0"/>
          <w:spacing w:val="-4"/>
          <w:sz w:val="32"/>
          <w:szCs w:val="32"/>
        </w:rPr>
        <w:t>万元，预算执行率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存在的问题：</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改进措施：</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）科学编制预算，提高预算与目标匹配度</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Pr>
          <w:rStyle w:val="18"/>
          <w:rFonts w:ascii="楷体" w:hAnsi="楷体" w:eastAsia="楷体"/>
          <w:b w:val="0"/>
          <w:bCs w:val="0"/>
          <w:spacing w:val="-4"/>
          <w:sz w:val="32"/>
          <w:szCs w:val="32"/>
        </w:rPr>
        <w:t xml:space="preserve"> </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ascii="楷体" w:hAnsi="楷体" w:eastAsia="楷体"/>
          <w:b w:val="0"/>
          <w:bCs w:val="0"/>
          <w:spacing w:val="-4"/>
          <w:sz w:val="32"/>
          <w:szCs w:val="32"/>
        </w:rPr>
        <w:t xml:space="preserve"> </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1. </w:t>
      </w: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4</w:t>
    </w:r>
    <w:r>
      <w:rPr>
        <w:lang w:val="zh-CN"/>
      </w:rP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BlY2RlZTc4MzFlYzYzZjZmMTg4MDMwODUwYTE2N2UifQ=="/>
  </w:docVars>
  <w:rsids>
    <w:rsidRoot w:val="00CA6457"/>
    <w:rsid w:val="00056465"/>
    <w:rsid w:val="00102DFF"/>
    <w:rsid w:val="0012073C"/>
    <w:rsid w:val="00121AE4"/>
    <w:rsid w:val="00143729"/>
    <w:rsid w:val="00146AAD"/>
    <w:rsid w:val="00151FA7"/>
    <w:rsid w:val="001B3A40"/>
    <w:rsid w:val="00291BC0"/>
    <w:rsid w:val="00311DBE"/>
    <w:rsid w:val="004366A8"/>
    <w:rsid w:val="00502BA7"/>
    <w:rsid w:val="00505251"/>
    <w:rsid w:val="005162F1"/>
    <w:rsid w:val="00535153"/>
    <w:rsid w:val="00554F82"/>
    <w:rsid w:val="0056390D"/>
    <w:rsid w:val="005719B0"/>
    <w:rsid w:val="005D10D6"/>
    <w:rsid w:val="005E35B1"/>
    <w:rsid w:val="00634691"/>
    <w:rsid w:val="007E206A"/>
    <w:rsid w:val="00855E3A"/>
    <w:rsid w:val="0091457F"/>
    <w:rsid w:val="00922CB9"/>
    <w:rsid w:val="009A0637"/>
    <w:rsid w:val="009D6BCC"/>
    <w:rsid w:val="009E5CD9"/>
    <w:rsid w:val="00A26421"/>
    <w:rsid w:val="00A34588"/>
    <w:rsid w:val="00A4293B"/>
    <w:rsid w:val="00A67D50"/>
    <w:rsid w:val="00A8691A"/>
    <w:rsid w:val="00AC1946"/>
    <w:rsid w:val="00AF3A5D"/>
    <w:rsid w:val="00B40063"/>
    <w:rsid w:val="00B41F61"/>
    <w:rsid w:val="00BA46E6"/>
    <w:rsid w:val="00C56C72"/>
    <w:rsid w:val="00CA6457"/>
    <w:rsid w:val="00CE2FD9"/>
    <w:rsid w:val="00D17F2E"/>
    <w:rsid w:val="00D30354"/>
    <w:rsid w:val="00DF42A0"/>
    <w:rsid w:val="00E30E91"/>
    <w:rsid w:val="00E769FE"/>
    <w:rsid w:val="00EA2CBE"/>
    <w:rsid w:val="00F32FEE"/>
    <w:rsid w:val="00F64D1C"/>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28B0C0E"/>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29"/>
    <w:semiHidden/>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1"/>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kern w:val="0"/>
      <w:sz w:val="24"/>
    </w:rPr>
  </w:style>
  <w:style w:type="paragraph" w:styleId="15">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character" w:styleId="18">
    <w:name w:val="Strong"/>
    <w:qFormat/>
    <w:uiPriority w:val="99"/>
    <w:rPr>
      <w:rFonts w:cs="Times New Roman"/>
      <w:b/>
      <w:bCs/>
    </w:rPr>
  </w:style>
  <w:style w:type="character" w:styleId="19">
    <w:name w:val="Emphasis"/>
    <w:qFormat/>
    <w:uiPriority w:val="99"/>
    <w:rPr>
      <w:rFonts w:ascii="Calibri" w:hAnsi="Calibri" w:cs="Times New Roman"/>
      <w:b/>
      <w:i/>
      <w:iCs/>
    </w:rPr>
  </w:style>
  <w:style w:type="character" w:customStyle="1" w:styleId="20">
    <w:name w:val="标题 1 字符"/>
    <w:link w:val="2"/>
    <w:locked/>
    <w:uiPriority w:val="99"/>
    <w:rPr>
      <w:rFonts w:ascii="Cambria" w:hAnsi="Cambria" w:eastAsia="宋体" w:cs="Times New Roman"/>
      <w:b/>
      <w:bCs/>
      <w:kern w:val="32"/>
      <w:sz w:val="32"/>
      <w:szCs w:val="32"/>
    </w:rPr>
  </w:style>
  <w:style w:type="character" w:customStyle="1" w:styleId="21">
    <w:name w:val="标题 2 字符"/>
    <w:link w:val="3"/>
    <w:semiHidden/>
    <w:locked/>
    <w:uiPriority w:val="99"/>
    <w:rPr>
      <w:rFonts w:ascii="Cambria" w:hAnsi="Cambria" w:eastAsia="宋体" w:cs="Times New Roman"/>
      <w:b/>
      <w:bCs/>
      <w:i/>
      <w:iCs/>
      <w:sz w:val="28"/>
      <w:szCs w:val="28"/>
    </w:rPr>
  </w:style>
  <w:style w:type="character" w:customStyle="1" w:styleId="22">
    <w:name w:val="标题 3 字符"/>
    <w:link w:val="4"/>
    <w:semiHidden/>
    <w:locked/>
    <w:uiPriority w:val="99"/>
    <w:rPr>
      <w:rFonts w:ascii="Cambria" w:hAnsi="Cambria" w:eastAsia="宋体" w:cs="Times New Roman"/>
      <w:b/>
      <w:bCs/>
      <w:sz w:val="26"/>
      <w:szCs w:val="26"/>
    </w:rPr>
  </w:style>
  <w:style w:type="character" w:customStyle="1" w:styleId="23">
    <w:name w:val="标题 4 字符"/>
    <w:link w:val="5"/>
    <w:semiHidden/>
    <w:qFormat/>
    <w:locked/>
    <w:uiPriority w:val="99"/>
    <w:rPr>
      <w:rFonts w:cs="Times New Roman"/>
      <w:b/>
      <w:bCs/>
      <w:sz w:val="28"/>
      <w:szCs w:val="28"/>
    </w:rPr>
  </w:style>
  <w:style w:type="character" w:customStyle="1" w:styleId="24">
    <w:name w:val="标题 5 字符"/>
    <w:link w:val="6"/>
    <w:semiHidden/>
    <w:qFormat/>
    <w:locked/>
    <w:uiPriority w:val="99"/>
    <w:rPr>
      <w:rFonts w:cs="Times New Roman"/>
      <w:b/>
      <w:bCs/>
      <w:i/>
      <w:iCs/>
      <w:sz w:val="26"/>
      <w:szCs w:val="26"/>
    </w:rPr>
  </w:style>
  <w:style w:type="character" w:customStyle="1" w:styleId="25">
    <w:name w:val="标题 6 字符"/>
    <w:link w:val="7"/>
    <w:semiHidden/>
    <w:locked/>
    <w:uiPriority w:val="99"/>
    <w:rPr>
      <w:rFonts w:cs="Times New Roman"/>
      <w:b/>
      <w:bCs/>
    </w:rPr>
  </w:style>
  <w:style w:type="character" w:customStyle="1" w:styleId="26">
    <w:name w:val="标题 7 字符"/>
    <w:link w:val="8"/>
    <w:semiHidden/>
    <w:locked/>
    <w:uiPriority w:val="99"/>
    <w:rPr>
      <w:rFonts w:cs="Times New Roman"/>
      <w:sz w:val="24"/>
      <w:szCs w:val="24"/>
    </w:rPr>
  </w:style>
  <w:style w:type="character" w:customStyle="1" w:styleId="27">
    <w:name w:val="标题 8 字符"/>
    <w:link w:val="9"/>
    <w:semiHidden/>
    <w:qFormat/>
    <w:locked/>
    <w:uiPriority w:val="99"/>
    <w:rPr>
      <w:rFonts w:cs="Times New Roman"/>
      <w:i/>
      <w:iCs/>
      <w:sz w:val="24"/>
      <w:szCs w:val="24"/>
    </w:rPr>
  </w:style>
  <w:style w:type="character" w:customStyle="1" w:styleId="28">
    <w:name w:val="标题 9 字符"/>
    <w:link w:val="10"/>
    <w:semiHidden/>
    <w:qFormat/>
    <w:locked/>
    <w:uiPriority w:val="99"/>
    <w:rPr>
      <w:rFonts w:ascii="Cambria" w:hAnsi="Cambria" w:eastAsia="宋体" w:cs="Times New Roman"/>
    </w:rPr>
  </w:style>
  <w:style w:type="character" w:customStyle="1" w:styleId="29">
    <w:name w:val="批注框文本 字符"/>
    <w:link w:val="11"/>
    <w:semiHidden/>
    <w:qFormat/>
    <w:locked/>
    <w:uiPriority w:val="99"/>
    <w:rPr>
      <w:rFonts w:ascii="Times New Roman" w:hAnsi="Times New Roman" w:eastAsia="宋体" w:cs="Times New Roman"/>
      <w:kern w:val="2"/>
      <w:sz w:val="18"/>
      <w:szCs w:val="18"/>
    </w:rPr>
  </w:style>
  <w:style w:type="character" w:customStyle="1" w:styleId="30">
    <w:name w:val="页脚 字符"/>
    <w:link w:val="12"/>
    <w:locked/>
    <w:uiPriority w:val="99"/>
    <w:rPr>
      <w:rFonts w:ascii="Calibri" w:hAnsi="Calibri" w:eastAsia="宋体" w:cs="Times New Roman"/>
      <w:kern w:val="2"/>
      <w:sz w:val="18"/>
      <w:szCs w:val="18"/>
    </w:rPr>
  </w:style>
  <w:style w:type="character" w:customStyle="1" w:styleId="31">
    <w:name w:val="页眉 字符"/>
    <w:link w:val="13"/>
    <w:locked/>
    <w:uiPriority w:val="99"/>
    <w:rPr>
      <w:rFonts w:ascii="Calibri" w:hAnsi="Calibri" w:eastAsia="宋体" w:cs="Times New Roman"/>
      <w:kern w:val="2"/>
      <w:sz w:val="18"/>
      <w:szCs w:val="18"/>
    </w:rPr>
  </w:style>
  <w:style w:type="character" w:customStyle="1" w:styleId="32">
    <w:name w:val="副标题 字符"/>
    <w:link w:val="14"/>
    <w:qFormat/>
    <w:locked/>
    <w:uiPriority w:val="99"/>
    <w:rPr>
      <w:rFonts w:ascii="Cambria" w:hAnsi="Cambria" w:eastAsia="宋体" w:cs="Times New Roman"/>
      <w:sz w:val="24"/>
      <w:szCs w:val="24"/>
    </w:rPr>
  </w:style>
  <w:style w:type="character" w:customStyle="1" w:styleId="33">
    <w:name w:val="标题 字符"/>
    <w:link w:val="15"/>
    <w:qFormat/>
    <w:locked/>
    <w:uiPriority w:val="99"/>
    <w:rPr>
      <w:rFonts w:ascii="Cambria" w:hAnsi="Cambria" w:eastAsia="宋体" w:cs="Times New Roman"/>
      <w:b/>
      <w:bCs/>
      <w:kern w:val="28"/>
      <w:sz w:val="32"/>
      <w:szCs w:val="32"/>
    </w:rPr>
  </w:style>
  <w:style w:type="paragraph" w:styleId="34">
    <w:name w:val="No Spacing"/>
    <w:basedOn w:val="1"/>
    <w:qFormat/>
    <w:uiPriority w:val="99"/>
    <w:pPr>
      <w:widowControl/>
      <w:jc w:val="left"/>
    </w:pPr>
    <w:rPr>
      <w:rFonts w:ascii="Calibri" w:hAnsi="Calibri"/>
      <w:kern w:val="0"/>
      <w:sz w:val="24"/>
      <w:szCs w:val="32"/>
      <w:lang w:eastAsia="en-US"/>
    </w:rPr>
  </w:style>
  <w:style w:type="paragraph" w:styleId="35">
    <w:name w:val="List Paragraph"/>
    <w:basedOn w:val="1"/>
    <w:qFormat/>
    <w:uiPriority w:val="99"/>
    <w:pPr>
      <w:widowControl/>
      <w:ind w:left="720"/>
      <w:contextualSpacing/>
      <w:jc w:val="left"/>
    </w:pPr>
    <w:rPr>
      <w:rFonts w:ascii="Calibri" w:hAnsi="Calibri"/>
      <w:kern w:val="0"/>
      <w:sz w:val="24"/>
      <w:lang w:eastAsia="en-US"/>
    </w:rPr>
  </w:style>
  <w:style w:type="paragraph" w:styleId="36">
    <w:name w:val="Quote"/>
    <w:basedOn w:val="1"/>
    <w:next w:val="1"/>
    <w:link w:val="37"/>
    <w:qFormat/>
    <w:uiPriority w:val="99"/>
    <w:pPr>
      <w:widowControl/>
      <w:jc w:val="left"/>
    </w:pPr>
    <w:rPr>
      <w:rFonts w:ascii="Calibri" w:hAnsi="Calibri"/>
      <w:i/>
      <w:kern w:val="0"/>
      <w:sz w:val="24"/>
    </w:rPr>
  </w:style>
  <w:style w:type="character" w:customStyle="1" w:styleId="37">
    <w:name w:val="引用 字符"/>
    <w:link w:val="36"/>
    <w:locked/>
    <w:uiPriority w:val="99"/>
    <w:rPr>
      <w:rFonts w:cs="Times New Roman"/>
      <w:i/>
      <w:sz w:val="24"/>
      <w:szCs w:val="24"/>
    </w:rPr>
  </w:style>
  <w:style w:type="paragraph" w:styleId="38">
    <w:name w:val="Intense Quote"/>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明显引用 字符"/>
    <w:link w:val="38"/>
    <w:qFormat/>
    <w:locked/>
    <w:uiPriority w:val="99"/>
    <w:rPr>
      <w:rFonts w:cs="Times New Roman"/>
      <w:b/>
      <w:i/>
      <w:sz w:val="24"/>
    </w:rPr>
  </w:style>
  <w:style w:type="character" w:customStyle="1" w:styleId="40">
    <w:name w:val="不明显强调1"/>
    <w:qFormat/>
    <w:uiPriority w:val="99"/>
    <w:rPr>
      <w:i/>
      <w:color w:val="595959"/>
    </w:rPr>
  </w:style>
  <w:style w:type="character" w:customStyle="1" w:styleId="41">
    <w:name w:val="明显强调1"/>
    <w:qFormat/>
    <w:uiPriority w:val="99"/>
    <w:rPr>
      <w:rFonts w:cs="Times New Roman"/>
      <w:b/>
      <w:i/>
      <w:sz w:val="24"/>
      <w:szCs w:val="24"/>
      <w:u w:val="single"/>
    </w:rPr>
  </w:style>
  <w:style w:type="character" w:customStyle="1" w:styleId="42">
    <w:name w:val="不明显参考1"/>
    <w:qFormat/>
    <w:uiPriority w:val="99"/>
    <w:rPr>
      <w:rFonts w:cs="Times New Roman"/>
      <w:sz w:val="24"/>
      <w:szCs w:val="24"/>
      <w:u w:val="single"/>
    </w:rPr>
  </w:style>
  <w:style w:type="character" w:customStyle="1" w:styleId="43">
    <w:name w:val="明显参考1"/>
    <w:qFormat/>
    <w:uiPriority w:val="99"/>
    <w:rPr>
      <w:rFonts w:cs="Times New Roman"/>
      <w:b/>
      <w:sz w:val="24"/>
      <w:u w:val="single"/>
    </w:rPr>
  </w:style>
  <w:style w:type="character" w:customStyle="1" w:styleId="44">
    <w:name w:val="书籍标题1"/>
    <w:uiPriority w:val="99"/>
    <w:rPr>
      <w:rFonts w:ascii="Cambria" w:hAnsi="Cambria" w:eastAsia="宋体" w:cs="Times New Roman"/>
      <w:b/>
      <w:i/>
      <w:sz w:val="24"/>
      <w:szCs w:val="24"/>
    </w:rPr>
  </w:style>
  <w:style w:type="paragraph" w:customStyle="1" w:styleId="45">
    <w:name w:val="TOC 标题1"/>
    <w:basedOn w:val="2"/>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1160</Words>
  <Characters>6617</Characters>
  <Lines>55</Lines>
  <Paragraphs>15</Paragraphs>
  <TotalTime>1</TotalTime>
  <ScaleCrop>false</ScaleCrop>
  <LinksUpToDate>false</LinksUpToDate>
  <CharactersWithSpaces>7762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2024-08-13T08:28:00Z</dcterms:created>
  <dc:creator>赵 恺（预算处）</dc:creator>
  <cp:lastModifiedBy>Administrator</cp:lastModifiedBy>
  <cp:lastPrinted>2018-12-31T10:56:00Z</cp:lastPrinted>
  <dcterms:modified xsi:type="dcterms:W3CDTF">2024-09-29T11:43:35Z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